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1f386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3864"/>
          <w:sz w:val="32"/>
          <w:szCs w:val="32"/>
          <w:rtl w:val="0"/>
        </w:rPr>
        <w:t xml:space="preserve">Положение об экзамене по информатике за курс 8 класса.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5093335</wp:posOffset>
            </wp:positionH>
            <wp:positionV relativeFrom="paragraph">
              <wp:posOffset>3810</wp:posOffset>
            </wp:positionV>
            <wp:extent cx="1096010" cy="12795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6602" r="284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27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данного экзамена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– проверка знаний, умений и навыков учащихся за курс 8 класса.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Ориентировочное время проведения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конец мая.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Длительность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 час (60 минут).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Экзамен по информатике состоит из трёх частей: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 (в том числе и вычисления) – 10 задач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 (работа в Excel) – 3 задания;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Программирование на ЯП Python- 1 задача. </w:t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Times New Roman" w:cs="Times New Roman" w:eastAsia="Times New Roman" w:hAnsi="Times New Roman"/>
          <w:b w:val="1"/>
          <w:color w:val="4472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8"/>
          <w:szCs w:val="28"/>
          <w:rtl w:val="0"/>
        </w:rPr>
        <w:t xml:space="preserve">В случае не сдачи хотя бы 1 блока – экзамен считается не сдан полностью!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Теория (вычисления)</w:t>
      </w:r>
      <w:r w:rsidDel="00000000" w:rsidR="00000000" w:rsidRPr="00000000">
        <w:rPr>
          <w:rtl w:val="0"/>
        </w:rPr>
      </w:r>
    </w:p>
    <w:tbl>
      <w:tblPr>
        <w:tblStyle w:val="Table1"/>
        <w:tblW w:w="10519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"/>
        <w:gridCol w:w="2074"/>
        <w:gridCol w:w="2990"/>
        <w:gridCol w:w="910"/>
        <w:gridCol w:w="1400"/>
        <w:gridCol w:w="2085"/>
        <w:tblGridChange w:id="0">
          <w:tblGrid>
            <w:gridCol w:w="1060"/>
            <w:gridCol w:w="2074"/>
            <w:gridCol w:w="2990"/>
            <w:gridCol w:w="910"/>
            <w:gridCol w:w="1400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№ задания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Элементы содержания,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проверяемые в задании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Умения, проверяемые в задании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Количество баллов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Форма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Ресурсы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выполнять арифметические операции в различных СС. Совершать переходы от одних оснований СС в другие.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https://inf-ege.sdamgia.ru/test?theme=320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https://inf-oge.sdamgia.ru/test?theme=23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https://inf-ege.sdamgia.ru/test?theme=347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определять основание СС.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https://informatika.shkolkovo.net/catalog/sistemy-schisleniya-slozhno/nahozhdenie-osnovaniya-sistemy-schisleniya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и восстановление чисел.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представлять и восстанавливать целые и вещественные числа.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https://murnik.ru/predstavlenie-chisel-v-kompjutere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символьной информации.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объём информации, используя формулы, переходы между единицами измерения.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https://inf-ege.sdamgia.ru/test?theme=350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графической информации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по формуле битовую глубину, количество цветов в палитре; определять объём изображения.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https://inf-ege.sdamgia.ru/test?theme=250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Кодирование звуковой информации.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вычислять объём аудио файла, переходить между единицами измерения информации. 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https://inf-ege.sdamgia.ru/test?theme=229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Формульная зависимость в графическом виде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работать с табличным процессором, формулами. Выявлять закономерности.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https://inf-oge.sdamgia.ru/test?theme=5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компьютерных сетей. Адресация.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определять IP адрес, либо адрес сети, либо маску по входным значениям.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https://inf-ege.sdamgia.ru/test?theme=345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https://inf-ege.sdamgia.ru/test?theme=253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алгоритма.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анализировать алгоритм, представленный в виде программы. Выполнять пошаговые действия (трассировку).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https://inf-ege.sdamgia.ru/test?theme=245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Кибернетика, искусственный интеллект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дать определение, сопоставить понятия.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вопрос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https://electrosam.ru/glavnaja/jelektrotehnika/kibernetika/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https://nsportal.ru/shkola/informatika-i-ikt/library/2015/02/24/samostoyatelnaya-rabota-kibernetika-i-upravlenie</w:t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Отметка «5» ставится за – 10-9 баллов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ab/>
        <w:tab/>
        <w:t xml:space="preserve">«4»   - за 8-7 баллов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ab/>
        <w:tab/>
        <w:t xml:space="preserve">«3» - за 6– 5 баллов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Практика представлена заданием в Excel.</w:t>
      </w:r>
    </w:p>
    <w:p w:rsidR="00000000" w:rsidDel="00000000" w:rsidP="00000000" w:rsidRDefault="00000000" w:rsidRPr="00000000" w14:paraId="0000006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Пример представлен ниже.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/>
        <w:drawing>
          <wp:inline distB="0" distT="0" distL="0" distR="0">
            <wp:extent cx="5940425" cy="27400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Ссылка для упражнений - </w:t>
      </w:r>
      <w:hyperlink r:id="rId2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https://inf-oge.sdamgia.ru/test?theme=29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3 верно решённых задания – «5»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2 верно решённых задания – «4»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1 верно решённое задание – «3»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Программирование на ЯП Python.</w:t>
      </w:r>
    </w:p>
    <w:p w:rsidR="00000000" w:rsidDel="00000000" w:rsidP="00000000" w:rsidRDefault="00000000" w:rsidRPr="00000000" w14:paraId="0000006E">
      <w:pPr>
        <w:tabs>
          <w:tab w:val="left" w:leader="none" w:pos="138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билет будет размещена одна из задач, которая высылается Вам на дом, в качестве домашнего задания. </w:t>
      </w:r>
    </w:p>
    <w:p w:rsidR="00000000" w:rsidDel="00000000" w:rsidP="00000000" w:rsidRDefault="00000000" w:rsidRPr="00000000" w14:paraId="0000006F">
      <w:pPr>
        <w:tabs>
          <w:tab w:val="left" w:leader="none" w:pos="1380"/>
        </w:tabs>
        <w:jc w:val="both"/>
        <w:rPr/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https://docs.google.com/document/d/1UXb6QqcQ75YXast_LMQYQ_arWp_7tXeTQVs62iuEGtE/edit?usp=sharing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38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cyan"/>
          <w:rtl w:val="0"/>
        </w:rPr>
        <w:t xml:space="preserve">Оценивается в 5 баллов. </w:t>
      </w:r>
    </w:p>
    <w:p w:rsidR="00000000" w:rsidDel="00000000" w:rsidP="00000000" w:rsidRDefault="00000000" w:rsidRPr="00000000" w14:paraId="00000072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Критерии оценивания программирования</w:t>
      </w:r>
    </w:p>
    <w:p w:rsidR="00000000" w:rsidDel="00000000" w:rsidP="00000000" w:rsidRDefault="00000000" w:rsidRPr="00000000" w14:paraId="00000073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«5» 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верно, без ошибок. Оформление кода соответствует общепринятым требованиям. Работа на компьютере производилась по правилам техники безопасности. </w:t>
      </w:r>
    </w:p>
    <w:p w:rsidR="00000000" w:rsidDel="00000000" w:rsidP="00000000" w:rsidRDefault="00000000" w:rsidRPr="00000000" w14:paraId="00000074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«4»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работа выполнена с 1-2 незначительными ошибками. Логика  и алгоритм решения верны, но синтаксические ошибки допущены.</w:t>
      </w:r>
    </w:p>
    <w:p w:rsidR="00000000" w:rsidDel="00000000" w:rsidP="00000000" w:rsidRDefault="00000000" w:rsidRPr="00000000" w14:paraId="00000075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«3»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Логика и алгоритм решения верны, но существует множество синтаксических и логических ошибок в написании кода программы.</w:t>
      </w:r>
    </w:p>
    <w:p w:rsidR="00000000" w:rsidDel="00000000" w:rsidP="00000000" w:rsidRDefault="00000000" w:rsidRPr="00000000" w14:paraId="00000076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«2»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неверный алгоритм решения задачи. Нарушена логика решения.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915"/>
        </w:tabs>
        <w:jc w:val="center"/>
        <w:rPr>
          <w:rFonts w:ascii="Times New Roman" w:cs="Times New Roman" w:eastAsia="Times New Roman" w:hAnsi="Times New Roman"/>
          <w:b w:val="1"/>
          <w:color w:val="4472c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8"/>
          <w:szCs w:val="28"/>
          <w:highlight w:val="cyan"/>
          <w:rtl w:val="0"/>
        </w:rPr>
        <w:t xml:space="preserve">Экзамен считается сдан, если все три блока выполнены хотя бы на отметку «3».  Среднее арифметическое, в пользу ученика, есть отметка за экзамен весом в 50 баллов.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s://murnik.ru/predstavlenie-chisel-v-kompjutere" TargetMode="External"/><Relationship Id="rId22" Type="http://schemas.openxmlformats.org/officeDocument/2006/relationships/hyperlink" Target="https://docs.google.com/document/d/1UXb6QqcQ75YXast_LMQYQ_arWp_7tXeTQVs62iuEGtE/edit?usp=sharing" TargetMode="External"/><Relationship Id="rId10" Type="http://schemas.openxmlformats.org/officeDocument/2006/relationships/hyperlink" Target="https://informatika.shkolkovo.net/catalog/sistemy-schisleniya-slozhno/nahozhdenie-osnovaniya-sistemy-schisleniya" TargetMode="External"/><Relationship Id="rId21" Type="http://schemas.openxmlformats.org/officeDocument/2006/relationships/hyperlink" Target="https://inf-oge.sdamgia.ru/test?theme=29" TargetMode="External"/><Relationship Id="rId13" Type="http://schemas.openxmlformats.org/officeDocument/2006/relationships/hyperlink" Target="https://inf-ege.sdamgia.ru/test?theme=250" TargetMode="External"/><Relationship Id="rId12" Type="http://schemas.openxmlformats.org/officeDocument/2006/relationships/hyperlink" Target="https://inf-ege.sdamgia.ru/test?theme=3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-ege.sdamgia.ru/test?theme=347" TargetMode="External"/><Relationship Id="rId15" Type="http://schemas.openxmlformats.org/officeDocument/2006/relationships/hyperlink" Target="https://inf-oge.sdamgia.ru/test?theme=5" TargetMode="External"/><Relationship Id="rId14" Type="http://schemas.openxmlformats.org/officeDocument/2006/relationships/hyperlink" Target="https://inf-ege.sdamgia.ru/test?theme=229" TargetMode="External"/><Relationship Id="rId17" Type="http://schemas.openxmlformats.org/officeDocument/2006/relationships/hyperlink" Target="https://inf-ege.sdamgia.ru/test?theme=253" TargetMode="External"/><Relationship Id="rId16" Type="http://schemas.openxmlformats.org/officeDocument/2006/relationships/hyperlink" Target="https://inf-ege.sdamgia.ru/test?theme=345" TargetMode="External"/><Relationship Id="rId5" Type="http://schemas.openxmlformats.org/officeDocument/2006/relationships/styles" Target="styles.xml"/><Relationship Id="rId19" Type="http://schemas.openxmlformats.org/officeDocument/2006/relationships/hyperlink" Target="https://electrosam.ru/glavnaja/jelektrotehnika/kibernetika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inf-ege.sdamgia.ru/test?theme=245" TargetMode="External"/><Relationship Id="rId7" Type="http://schemas.openxmlformats.org/officeDocument/2006/relationships/hyperlink" Target="https://inf-ege.sdamgia.ru/test?theme=320" TargetMode="External"/><Relationship Id="rId8" Type="http://schemas.openxmlformats.org/officeDocument/2006/relationships/hyperlink" Target="https://inf-oge.sdamgia.ru/test?theme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