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6" w:rsidRDefault="009A4D16" w:rsidP="009A4D16">
      <w:pPr>
        <w:spacing w:after="3"/>
        <w:ind w:left="10" w:right="1424" w:firstLine="4526"/>
        <w:jc w:val="both"/>
        <w:rPr>
          <w:sz w:val="22"/>
        </w:rPr>
      </w:pPr>
      <w:r>
        <w:rPr>
          <w:rFonts w:cs="Times New Roman"/>
        </w:rPr>
        <w:t xml:space="preserve">УТВЕРЖДЕНО                                                                       </w:t>
      </w:r>
    </w:p>
    <w:p w:rsidR="009A4D16" w:rsidRDefault="009A4D16" w:rsidP="009A4D16">
      <w:pPr>
        <w:spacing w:after="3"/>
        <w:ind w:left="10" w:right="-15" w:firstLine="4526"/>
        <w:jc w:val="both"/>
        <w:rPr>
          <w:rFonts w:cs="Times New Roman"/>
        </w:rPr>
      </w:pPr>
      <w:proofErr w:type="gramStart"/>
      <w:r>
        <w:rPr>
          <w:rFonts w:cs="Times New Roman"/>
        </w:rPr>
        <w:t>приказом</w:t>
      </w:r>
      <w:proofErr w:type="gramEnd"/>
      <w:r>
        <w:rPr>
          <w:rFonts w:cs="Times New Roman"/>
        </w:rPr>
        <w:t xml:space="preserve"> директора МАОУ «Лицей</w:t>
      </w:r>
    </w:p>
    <w:p w:rsidR="009A4D16" w:rsidRDefault="009A4D16" w:rsidP="009A4D16">
      <w:pPr>
        <w:spacing w:after="3"/>
        <w:ind w:left="10" w:right="-15" w:firstLine="4526"/>
        <w:jc w:val="both"/>
        <w:rPr>
          <w:rFonts w:cs="Times New Roman"/>
        </w:rPr>
      </w:pPr>
      <w:proofErr w:type="gramStart"/>
      <w:r>
        <w:rPr>
          <w:rFonts w:cs="Times New Roman"/>
        </w:rPr>
        <w:t>народной</w:t>
      </w:r>
      <w:proofErr w:type="gramEnd"/>
      <w:r>
        <w:rPr>
          <w:rFonts w:cs="Times New Roman"/>
        </w:rPr>
        <w:t xml:space="preserve"> дипломатии» </w:t>
      </w:r>
    </w:p>
    <w:p w:rsidR="000D11B0" w:rsidRDefault="00D72200" w:rsidP="009A4D16">
      <w:pPr>
        <w:spacing w:after="3"/>
        <w:ind w:left="10" w:right="-15" w:firstLine="4526"/>
        <w:jc w:val="both"/>
      </w:pPr>
      <w:r>
        <w:rPr>
          <w:rFonts w:cs="Times New Roman"/>
        </w:rPr>
        <w:t>г.Сыктывкара от 27</w:t>
      </w:r>
      <w:r w:rsidR="000D11B0">
        <w:rPr>
          <w:rFonts w:cs="Times New Roman"/>
        </w:rPr>
        <w:t>.</w:t>
      </w:r>
      <w:r>
        <w:rPr>
          <w:rFonts w:cs="Times New Roman"/>
        </w:rPr>
        <w:t>02</w:t>
      </w:r>
      <w:r w:rsidR="000D11B0">
        <w:rPr>
          <w:rFonts w:cs="Times New Roman"/>
        </w:rPr>
        <w:t>.20</w:t>
      </w:r>
      <w:r>
        <w:rPr>
          <w:rFonts w:cs="Times New Roman"/>
        </w:rPr>
        <w:t xml:space="preserve">20 № </w:t>
      </w:r>
      <w:proofErr w:type="gramStart"/>
      <w:r>
        <w:rPr>
          <w:rFonts w:cs="Times New Roman"/>
        </w:rPr>
        <w:t>20§</w:t>
      </w:r>
      <w:proofErr w:type="gramEnd"/>
      <w:r>
        <w:rPr>
          <w:rFonts w:cs="Times New Roman"/>
        </w:rPr>
        <w:t>1-</w:t>
      </w:r>
      <w:r w:rsidR="000D11B0">
        <w:rPr>
          <w:rFonts w:cs="Times New Roman"/>
        </w:rPr>
        <w:t>о.</w:t>
      </w:r>
    </w:p>
    <w:p w:rsidR="000F6905" w:rsidRDefault="009A4D16" w:rsidP="000D11B0">
      <w:pPr>
        <w:ind w:left="2306" w:firstLine="5093"/>
        <w:jc w:val="both"/>
      </w:pPr>
      <w:r>
        <w:rPr>
          <w:rFonts w:cs="Times New Roman"/>
        </w:rPr>
        <w:t xml:space="preserve">                          </w:t>
      </w:r>
      <w:r w:rsidR="000D11B0">
        <w:rPr>
          <w:rFonts w:cs="Times New Roman"/>
        </w:rPr>
        <w:t xml:space="preserve">      </w:t>
      </w:r>
    </w:p>
    <w:p w:rsidR="00856302" w:rsidRPr="0074012E" w:rsidRDefault="00856302" w:rsidP="00D91210">
      <w:pPr>
        <w:rPr>
          <w:b/>
        </w:rPr>
      </w:pPr>
    </w:p>
    <w:p w:rsidR="000D11B0" w:rsidRDefault="005D1FCD" w:rsidP="00D91210">
      <w:pPr>
        <w:rPr>
          <w:b/>
        </w:rPr>
      </w:pPr>
      <w:r w:rsidRPr="005D1FCD">
        <w:rPr>
          <w:b/>
        </w:rPr>
        <w:t>ПОРЯД</w:t>
      </w:r>
      <w:r w:rsidR="00970194">
        <w:rPr>
          <w:b/>
        </w:rPr>
        <w:t>ОК</w:t>
      </w:r>
      <w:r w:rsidRPr="005D1FCD">
        <w:rPr>
          <w:b/>
        </w:rPr>
        <w:t xml:space="preserve"> УВЕДОМЛЕНИЯ РАБОТОДАТЕЛЯ </w:t>
      </w:r>
    </w:p>
    <w:p w:rsidR="000D11B0" w:rsidRDefault="005D1FCD" w:rsidP="00D91210">
      <w:pPr>
        <w:rPr>
          <w:b/>
        </w:rPr>
      </w:pPr>
      <w:r w:rsidRPr="005D1FCD">
        <w:rPr>
          <w:b/>
        </w:rPr>
        <w:t>О КОНФЛИКТЕ ИНТЕРЕСОВ</w:t>
      </w:r>
      <w:r w:rsidR="000D11B0">
        <w:rPr>
          <w:b/>
        </w:rPr>
        <w:t xml:space="preserve"> </w:t>
      </w:r>
    </w:p>
    <w:p w:rsidR="005D1FCD" w:rsidRPr="00C52D5B" w:rsidRDefault="000D11B0" w:rsidP="00D91210">
      <w:pPr>
        <w:rPr>
          <w:b/>
        </w:rPr>
      </w:pPr>
      <w:r>
        <w:rPr>
          <w:b/>
        </w:rPr>
        <w:t>МАОУ «ЛИЦЕЙ НАРОДНОЙ ДИПЛОМАТИИ»</w:t>
      </w:r>
    </w:p>
    <w:p w:rsidR="005D1FCD" w:rsidRPr="005D1FCD" w:rsidRDefault="005D1FCD" w:rsidP="00D91210">
      <w:pPr>
        <w:jc w:val="both"/>
      </w:pPr>
    </w:p>
    <w:p w:rsidR="008B5793" w:rsidRDefault="00F92DA0" w:rsidP="00D91210">
      <w:pPr>
        <w:ind w:firstLine="709"/>
        <w:jc w:val="both"/>
        <w:rPr>
          <w:rFonts w:eastAsiaTheme="minorHAnsi" w:cs="Times New Roman"/>
          <w:szCs w:val="28"/>
        </w:rPr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уведомления работодателя работником</w:t>
      </w:r>
      <w:r w:rsidR="000D11B0">
        <w:rPr>
          <w:rFonts w:eastAsiaTheme="minorHAnsi" w:cs="Times New Roman"/>
          <w:szCs w:val="28"/>
        </w:rPr>
        <w:t xml:space="preserve"> МАОУ «Лицей народной дипломатии» (далее-Лицей)</w:t>
      </w:r>
      <w:r w:rsidR="00F01375" w:rsidRPr="00F01375">
        <w:rPr>
          <w:i/>
        </w:rPr>
        <w:t xml:space="preserve">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Default="00EF354D" w:rsidP="00D91210">
      <w:pPr>
        <w:pStyle w:val="Default"/>
        <w:ind w:firstLine="709"/>
        <w:jc w:val="both"/>
        <w:rPr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7B77F4">
        <w:rPr>
          <w:rFonts w:eastAsia="Times New Roman" w:cs="Calibri"/>
          <w:color w:val="000000" w:themeColor="text1"/>
          <w:sz w:val="28"/>
          <w:szCs w:val="22"/>
        </w:rPr>
        <w:t>Работник Лицея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9A7B76" w:rsidRPr="00393B5A" w:rsidRDefault="00EF354D" w:rsidP="00D9121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>В</w:t>
      </w:r>
      <w:r w:rsidR="007B77F4">
        <w:rPr>
          <w:rFonts w:eastAsia="Times New Roman"/>
          <w:color w:val="000000" w:themeColor="text1"/>
          <w:sz w:val="28"/>
          <w:szCs w:val="28"/>
        </w:rPr>
        <w:t xml:space="preserve"> случае если работник Лицея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="00393B5A" w:rsidRPr="000606CF">
          <w:rPr>
            <w:rFonts w:eastAsia="Times New Roman"/>
            <w:sz w:val="28"/>
          </w:rPr>
          <w:t>уведомление</w:t>
        </w:r>
      </w:hyperlink>
      <w:r w:rsidR="00393B5A"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F837F1" w:rsidRPr="00EF354D" w:rsidRDefault="00EF354D" w:rsidP="00D9121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</w:t>
      </w:r>
      <w:r w:rsidR="00CB4C64">
        <w:rPr>
          <w:rFonts w:eastAsiaTheme="minorHAnsi" w:cs="Times New Roman"/>
          <w:szCs w:val="28"/>
        </w:rPr>
        <w:t xml:space="preserve">. </w:t>
      </w:r>
      <w:r w:rsidR="007B77F4">
        <w:rPr>
          <w:color w:val="000000" w:themeColor="text1"/>
        </w:rPr>
        <w:t>Работник Лицея</w:t>
      </w:r>
      <w:r w:rsidR="00CB4C64">
        <w:rPr>
          <w:color w:val="000000" w:themeColor="text1"/>
        </w:rPr>
        <w:t xml:space="preserve">, не выполнивший обязанность по уведомлению работодателя </w:t>
      </w:r>
      <w:r w:rsidR="00C52D5B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9A6C04" w:rsidRPr="007C429B" w:rsidRDefault="00EF354D" w:rsidP="00D9121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5. 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 w:rsidR="007B77F4">
        <w:rPr>
          <w:rFonts w:ascii="Times New Roman" w:hAnsi="Times New Roman"/>
          <w:sz w:val="28"/>
          <w:szCs w:val="22"/>
          <w:lang w:eastAsia="en-US"/>
        </w:rPr>
        <w:t xml:space="preserve"> работника Лицея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</w:t>
      </w:r>
      <w:r w:rsidR="0074012E">
        <w:rPr>
          <w:rFonts w:ascii="Times New Roman" w:hAnsi="Times New Roman"/>
          <w:sz w:val="28"/>
          <w:szCs w:val="22"/>
          <w:lang w:eastAsia="en-US"/>
        </w:rPr>
        <w:t xml:space="preserve"> в день его подачи</w:t>
      </w:r>
      <w:r w:rsidR="00C05231">
        <w:rPr>
          <w:rFonts w:ascii="Times New Roman" w:hAnsi="Times New Roman"/>
          <w:sz w:val="28"/>
          <w:szCs w:val="22"/>
          <w:lang w:eastAsia="en-US"/>
        </w:rPr>
        <w:t>.</w:t>
      </w:r>
      <w:r w:rsidR="008026A5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C05231">
        <w:rPr>
          <w:rFonts w:ascii="Times New Roman" w:hAnsi="Times New Roman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7B77F4">
        <w:rPr>
          <w:rFonts w:ascii="Times New Roman" w:hAnsi="Times New Roman"/>
          <w:sz w:val="28"/>
          <w:szCs w:val="22"/>
          <w:lang w:eastAsia="en-US"/>
        </w:rPr>
        <w:t xml:space="preserve"> в Лицее</w:t>
      </w:r>
      <w:r w:rsidR="00856302">
        <w:rPr>
          <w:rFonts w:ascii="Times New Roman" w:hAnsi="Times New Roman"/>
          <w:i/>
          <w:sz w:val="28"/>
          <w:szCs w:val="22"/>
          <w:lang w:eastAsia="en-US"/>
        </w:rPr>
        <w:t>.</w:t>
      </w:r>
    </w:p>
    <w:p w:rsidR="009A6C04" w:rsidRDefault="007C429B" w:rsidP="00D9121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4450C5">
        <w:rPr>
          <w:sz w:val="28"/>
          <w:szCs w:val="28"/>
        </w:rPr>
        <w:t xml:space="preserve">. </w:t>
      </w:r>
      <w:r w:rsidR="009A6C04"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="009A6C04"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9A6C04"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>
        <w:rPr>
          <w:sz w:val="28"/>
          <w:szCs w:val="22"/>
        </w:rPr>
        <w:t>рядку</w:t>
      </w:r>
      <w:r w:rsidR="009A6C04">
        <w:rPr>
          <w:sz w:val="28"/>
          <w:szCs w:val="22"/>
        </w:rPr>
        <w:t>.</w:t>
      </w:r>
    </w:p>
    <w:p w:rsidR="009A6C04" w:rsidRDefault="009A6C04" w:rsidP="00D9121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 w:rsidR="007B77F4">
        <w:rPr>
          <w:rFonts w:ascii="Times New Roman" w:hAnsi="Times New Roman"/>
          <w:sz w:val="28"/>
          <w:szCs w:val="22"/>
          <w:lang w:eastAsia="en-US"/>
        </w:rPr>
        <w:t>канцелярии</w:t>
      </w:r>
      <w:r>
        <w:rPr>
          <w:rFonts w:ascii="Times New Roman" w:hAnsi="Times New Roman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9A6C04" w:rsidRDefault="009A6C04" w:rsidP="00D9121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</w:t>
      </w:r>
      <w:r>
        <w:rPr>
          <w:rFonts w:ascii="Times New Roman" w:hAnsi="Times New Roman"/>
          <w:sz w:val="28"/>
          <w:szCs w:val="22"/>
          <w:lang w:eastAsia="en-US"/>
        </w:rPr>
        <w:lastRenderedPageBreak/>
        <w:t>работу по профилактике коррупцио</w:t>
      </w:r>
      <w:r w:rsidR="007B77F4">
        <w:rPr>
          <w:rFonts w:ascii="Times New Roman" w:hAnsi="Times New Roman"/>
          <w:sz w:val="28"/>
          <w:szCs w:val="22"/>
          <w:lang w:eastAsia="en-US"/>
        </w:rPr>
        <w:t>нных правонарушений в Лицее</w:t>
      </w:r>
      <w:r>
        <w:rPr>
          <w:rFonts w:ascii="Times New Roman" w:hAnsi="Times New Roman"/>
          <w:sz w:val="28"/>
          <w:szCs w:val="22"/>
          <w:lang w:eastAsia="en-US"/>
        </w:rPr>
        <w:t>.</w:t>
      </w:r>
    </w:p>
    <w:p w:rsidR="009A6C04" w:rsidRPr="007C429B" w:rsidRDefault="009A6C04" w:rsidP="00D9121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4450C5" w:rsidRDefault="007C429B" w:rsidP="00D912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C5">
        <w:rPr>
          <w:sz w:val="28"/>
          <w:szCs w:val="28"/>
        </w:rPr>
        <w:t xml:space="preserve">. </w:t>
      </w:r>
      <w:r w:rsidR="006F651D">
        <w:rPr>
          <w:sz w:val="28"/>
          <w:szCs w:val="28"/>
        </w:rPr>
        <w:t xml:space="preserve">Зарегистрированное уведомление в день его получения передается </w:t>
      </w:r>
      <w:r w:rsidR="007B77F4">
        <w:rPr>
          <w:sz w:val="28"/>
          <w:szCs w:val="28"/>
        </w:rPr>
        <w:t>директору Лицея</w:t>
      </w:r>
      <w:r w:rsidR="006F651D">
        <w:rPr>
          <w:sz w:val="28"/>
          <w:szCs w:val="28"/>
        </w:rPr>
        <w:t xml:space="preserve">. </w:t>
      </w:r>
      <w:r w:rsidR="006F38AD">
        <w:rPr>
          <w:sz w:val="28"/>
          <w:szCs w:val="28"/>
        </w:rPr>
        <w:t>В</w:t>
      </w:r>
      <w:r w:rsidR="006F38AD" w:rsidRPr="006F38AD">
        <w:rPr>
          <w:sz w:val="28"/>
          <w:szCs w:val="28"/>
        </w:rPr>
        <w:t xml:space="preserve"> течение 2 рабочих дней </w:t>
      </w:r>
      <w:r w:rsidR="007B77F4">
        <w:rPr>
          <w:sz w:val="28"/>
          <w:szCs w:val="28"/>
        </w:rPr>
        <w:t>директор</w:t>
      </w:r>
      <w:r w:rsidR="006F651D">
        <w:rPr>
          <w:sz w:val="28"/>
          <w:szCs w:val="28"/>
        </w:rPr>
        <w:t xml:space="preserve"> рассматривает уведомление</w:t>
      </w:r>
      <w:r w:rsidR="006F38AD">
        <w:rPr>
          <w:sz w:val="28"/>
          <w:szCs w:val="28"/>
        </w:rPr>
        <w:t xml:space="preserve"> и передает его на рассмотрение в комиссию по</w:t>
      </w:r>
      <w:r w:rsidR="007871BA">
        <w:rPr>
          <w:sz w:val="28"/>
          <w:szCs w:val="28"/>
        </w:rPr>
        <w:t xml:space="preserve"> урегулированию споров между участниками образовательных отношений</w:t>
      </w:r>
      <w:bookmarkStart w:id="0" w:name="_GoBack"/>
      <w:bookmarkEnd w:id="0"/>
      <w:r w:rsidR="006F38AD">
        <w:rPr>
          <w:sz w:val="28"/>
          <w:szCs w:val="28"/>
        </w:rPr>
        <w:t xml:space="preserve"> (далее – комиссия) на рассмотрение в установленном порядке.</w:t>
      </w:r>
    </w:p>
    <w:p w:rsidR="006F38AD" w:rsidRDefault="006F38AD" w:rsidP="00D912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F38AD">
        <w:rPr>
          <w:sz w:val="28"/>
          <w:szCs w:val="28"/>
        </w:rPr>
        <w:t>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комиссии.</w:t>
      </w:r>
    </w:p>
    <w:p w:rsidR="006125AB" w:rsidRDefault="006125AB" w:rsidP="00D91210">
      <w:pPr>
        <w:jc w:val="both"/>
      </w:pPr>
    </w:p>
    <w:p w:rsidR="00F27AA6" w:rsidRPr="00F27AA6" w:rsidRDefault="00F27AA6" w:rsidP="00F27AA6">
      <w:pPr>
        <w:jc w:val="both"/>
        <w:rPr>
          <w:rFonts w:eastAsia="Calibri" w:cs="Times New Roman"/>
          <w:szCs w:val="28"/>
        </w:rPr>
      </w:pPr>
    </w:p>
    <w:p w:rsidR="000606CF" w:rsidRDefault="000606CF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6F38AD" w:rsidRDefault="006F38AD" w:rsidP="00D91210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956874" w:rsidRDefault="00956874" w:rsidP="00956874">
      <w:pPr>
        <w:jc w:val="both"/>
      </w:pPr>
    </w:p>
    <w:p w:rsidR="0074012E" w:rsidRDefault="0074012E" w:rsidP="00956874">
      <w:pPr>
        <w:jc w:val="both"/>
      </w:pPr>
    </w:p>
    <w:p w:rsidR="0074012E" w:rsidRDefault="0074012E" w:rsidP="00956874">
      <w:pPr>
        <w:jc w:val="both"/>
      </w:pPr>
    </w:p>
    <w:p w:rsidR="0074012E" w:rsidRDefault="0074012E" w:rsidP="00956874">
      <w:pPr>
        <w:jc w:val="both"/>
      </w:pPr>
    </w:p>
    <w:p w:rsidR="0074012E" w:rsidRDefault="0074012E" w:rsidP="00956874">
      <w:pPr>
        <w:jc w:val="both"/>
      </w:pPr>
    </w:p>
    <w:p w:rsidR="0074012E" w:rsidRDefault="0074012E" w:rsidP="00956874">
      <w:pPr>
        <w:jc w:val="both"/>
      </w:pPr>
    </w:p>
    <w:p w:rsidR="00D91210" w:rsidRDefault="00D91210" w:rsidP="00956874">
      <w:pPr>
        <w:jc w:val="both"/>
      </w:pPr>
    </w:p>
    <w:p w:rsidR="006F38AD" w:rsidRDefault="006F38AD" w:rsidP="00956874">
      <w:pPr>
        <w:jc w:val="both"/>
      </w:pPr>
    </w:p>
    <w:p w:rsidR="00D91210" w:rsidRDefault="00D91210" w:rsidP="00956874">
      <w:pPr>
        <w:jc w:val="both"/>
      </w:pPr>
    </w:p>
    <w:p w:rsidR="00D91210" w:rsidRDefault="00D91210" w:rsidP="00956874">
      <w:pPr>
        <w:jc w:val="both"/>
      </w:pPr>
    </w:p>
    <w:p w:rsidR="006E59FE" w:rsidRPr="004E77BD" w:rsidRDefault="007B77F4" w:rsidP="00A75C47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="006E59FE" w:rsidRPr="004E77BD">
        <w:rPr>
          <w:szCs w:val="28"/>
        </w:rPr>
        <w:t>риложение 1</w:t>
      </w:r>
    </w:p>
    <w:p w:rsidR="00BC1A55" w:rsidRPr="004E77BD" w:rsidRDefault="004E77BD" w:rsidP="00BC1A55">
      <w:pPr>
        <w:jc w:val="right"/>
        <w:rPr>
          <w:szCs w:val="28"/>
        </w:rPr>
      </w:pPr>
      <w:proofErr w:type="gramStart"/>
      <w:r w:rsidRPr="004E77BD">
        <w:rPr>
          <w:szCs w:val="28"/>
        </w:rPr>
        <w:t>к</w:t>
      </w:r>
      <w:proofErr w:type="gramEnd"/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</w:t>
      </w:r>
      <w:proofErr w:type="gramStart"/>
      <w:r w:rsidRPr="004E77BD">
        <w:rPr>
          <w:szCs w:val="28"/>
        </w:rPr>
        <w:t>работодателя</w:t>
      </w:r>
      <w:proofErr w:type="gramEnd"/>
      <w:r w:rsidRPr="004E77BD">
        <w:rPr>
          <w:szCs w:val="28"/>
        </w:rPr>
        <w:t xml:space="preserve">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proofErr w:type="gramStart"/>
      <w:r w:rsidRPr="004E77BD">
        <w:rPr>
          <w:szCs w:val="28"/>
        </w:rPr>
        <w:t>в</w:t>
      </w:r>
      <w:proofErr w:type="gramEnd"/>
      <w:r w:rsidRPr="004E77BD">
        <w:rPr>
          <w:szCs w:val="28"/>
        </w:rPr>
        <w:t xml:space="preserve"> </w:t>
      </w:r>
      <w:r w:rsidR="007B77F4">
        <w:rPr>
          <w:szCs w:val="28"/>
        </w:rPr>
        <w:t>Лицее</w:t>
      </w:r>
      <w:r w:rsidRPr="004E77BD">
        <w:rPr>
          <w:i/>
          <w:szCs w:val="28"/>
        </w:rPr>
        <w:t xml:space="preserve"> </w:t>
      </w:r>
    </w:p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proofErr w:type="gramStart"/>
      <w:r w:rsidRPr="00E475CC">
        <w:rPr>
          <w:b/>
          <w:sz w:val="28"/>
          <w:szCs w:val="28"/>
        </w:rPr>
        <w:t>о</w:t>
      </w:r>
      <w:proofErr w:type="gramEnd"/>
      <w:r w:rsidRPr="00E475CC">
        <w:rPr>
          <w:b/>
          <w:sz w:val="28"/>
          <w:szCs w:val="28"/>
        </w:rPr>
        <w:t xml:space="preserve">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proofErr w:type="gramStart"/>
      <w:r w:rsidRPr="00E475CC">
        <w:rPr>
          <w:b/>
          <w:sz w:val="28"/>
          <w:szCs w:val="28"/>
        </w:rPr>
        <w:t>при</w:t>
      </w:r>
      <w:proofErr w:type="gramEnd"/>
      <w:r w:rsidRPr="00E475CC">
        <w:rPr>
          <w:b/>
          <w:sz w:val="28"/>
          <w:szCs w:val="28"/>
        </w:rPr>
        <w:t xml:space="preserve">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>обязанностей, которая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</w:t>
      </w:r>
      <w:proofErr w:type="gramStart"/>
      <w:r w:rsidRPr="00E475CC">
        <w:rPr>
          <w:b/>
          <w:sz w:val="28"/>
          <w:szCs w:val="28"/>
        </w:rPr>
        <w:t>или</w:t>
      </w:r>
      <w:proofErr w:type="gramEnd"/>
      <w:r w:rsidRPr="00E475CC">
        <w:rPr>
          <w:b/>
          <w:sz w:val="28"/>
          <w:szCs w:val="28"/>
        </w:rPr>
        <w:t xml:space="preserve">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D91210">
        <w:rPr>
          <w:i/>
          <w:iCs/>
          <w:sz w:val="28"/>
          <w:szCs w:val="28"/>
        </w:rPr>
        <w:t>(нужное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BA2C31">
        <w:rPr>
          <w:sz w:val="28"/>
          <w:szCs w:val="28"/>
        </w:rPr>
        <w:t>заинтересованности:_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proofErr w:type="gramStart"/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proofErr w:type="gramEnd"/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>(</w:t>
      </w:r>
      <w:proofErr w:type="gramStart"/>
      <w:r w:rsidRPr="00BA2C31">
        <w:rPr>
          <w:rFonts w:eastAsiaTheme="minorHAnsi" w:cs="Times New Roman"/>
          <w:color w:val="000000"/>
          <w:szCs w:val="28"/>
          <w:vertAlign w:val="superscript"/>
        </w:rPr>
        <w:t>подпись</w:t>
      </w:r>
      <w:proofErr w:type="gramEnd"/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proofErr w:type="gramStart"/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proofErr w:type="gramEnd"/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>(</w:t>
      </w:r>
      <w:proofErr w:type="gramStart"/>
      <w:r w:rsidRPr="00BA2C31">
        <w:rPr>
          <w:rFonts w:eastAsiaTheme="minorHAnsi" w:cs="Times New Roman"/>
          <w:color w:val="000000"/>
          <w:szCs w:val="28"/>
          <w:vertAlign w:val="superscript"/>
        </w:rPr>
        <w:t>подпись</w:t>
      </w:r>
      <w:proofErr w:type="gramEnd"/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proofErr w:type="gramStart"/>
      <w:r w:rsidRPr="004E77BD">
        <w:rPr>
          <w:szCs w:val="28"/>
        </w:rPr>
        <w:t>к</w:t>
      </w:r>
      <w:proofErr w:type="gramEnd"/>
      <w:r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</w:t>
      </w:r>
      <w:proofErr w:type="gramStart"/>
      <w:r w:rsidRPr="004E77BD">
        <w:rPr>
          <w:szCs w:val="28"/>
        </w:rPr>
        <w:t>раб</w:t>
      </w:r>
      <w:r w:rsidR="000606CF">
        <w:rPr>
          <w:szCs w:val="28"/>
        </w:rPr>
        <w:t>отодателя</w:t>
      </w:r>
      <w:proofErr w:type="gramEnd"/>
      <w:r w:rsidR="000606CF">
        <w:rPr>
          <w:szCs w:val="28"/>
        </w:rPr>
        <w:t xml:space="preserve"> о конфликте интересов</w:t>
      </w:r>
    </w:p>
    <w:p w:rsidR="004E77BD" w:rsidRDefault="007B77F4" w:rsidP="004E77BD">
      <w:pPr>
        <w:jc w:val="right"/>
        <w:rPr>
          <w:i/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Лицее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proofErr w:type="gramStart"/>
      <w:r w:rsidRPr="00E475CC">
        <w:rPr>
          <w:b/>
          <w:sz w:val="28"/>
          <w:szCs w:val="28"/>
        </w:rPr>
        <w:t>о</w:t>
      </w:r>
      <w:proofErr w:type="gramEnd"/>
      <w:r w:rsidRPr="00E475CC">
        <w:rPr>
          <w:b/>
          <w:sz w:val="28"/>
          <w:szCs w:val="28"/>
        </w:rPr>
        <w:t xml:space="preserve">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proofErr w:type="gramStart"/>
      <w:r w:rsidRPr="00E475CC">
        <w:rPr>
          <w:b/>
          <w:sz w:val="28"/>
          <w:szCs w:val="28"/>
        </w:rPr>
        <w:t>при</w:t>
      </w:r>
      <w:proofErr w:type="gramEnd"/>
      <w:r w:rsidRPr="00E475CC">
        <w:rPr>
          <w:b/>
          <w:sz w:val="28"/>
          <w:szCs w:val="28"/>
        </w:rPr>
        <w:t xml:space="preserve"> исполнении трудовых обязанностей, которая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</w:t>
      </w:r>
      <w:proofErr w:type="gramStart"/>
      <w:r w:rsidRPr="00E475CC">
        <w:rPr>
          <w:b/>
          <w:sz w:val="28"/>
          <w:szCs w:val="28"/>
        </w:rPr>
        <w:t>или</w:t>
      </w:r>
      <w:proofErr w:type="gramEnd"/>
      <w:r w:rsidRPr="00E475CC">
        <w:rPr>
          <w:b/>
          <w:sz w:val="28"/>
          <w:szCs w:val="28"/>
        </w:rPr>
        <w:t xml:space="preserve">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D6" w:rsidRDefault="00A344D6" w:rsidP="00F4667E">
      <w:r>
        <w:separator/>
      </w:r>
    </w:p>
  </w:endnote>
  <w:endnote w:type="continuationSeparator" w:id="0">
    <w:p w:rsidR="00A344D6" w:rsidRDefault="00A344D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D6" w:rsidRDefault="00A344D6" w:rsidP="00F4667E">
      <w:r>
        <w:separator/>
      </w:r>
    </w:p>
  </w:footnote>
  <w:footnote w:type="continuationSeparator" w:id="0">
    <w:p w:rsidR="00A344D6" w:rsidRDefault="00A344D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A344D6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0D63"/>
    <w:rsid w:val="0003055D"/>
    <w:rsid w:val="00045238"/>
    <w:rsid w:val="00054563"/>
    <w:rsid w:val="000606CF"/>
    <w:rsid w:val="000630C7"/>
    <w:rsid w:val="000D11B0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83946"/>
    <w:rsid w:val="00393B5A"/>
    <w:rsid w:val="00395692"/>
    <w:rsid w:val="003C3F31"/>
    <w:rsid w:val="00410A8B"/>
    <w:rsid w:val="00414EDC"/>
    <w:rsid w:val="00417E35"/>
    <w:rsid w:val="004325B4"/>
    <w:rsid w:val="00440F7A"/>
    <w:rsid w:val="004450C5"/>
    <w:rsid w:val="00455BD9"/>
    <w:rsid w:val="00497542"/>
    <w:rsid w:val="004B538F"/>
    <w:rsid w:val="004C744D"/>
    <w:rsid w:val="004E77BD"/>
    <w:rsid w:val="004F1799"/>
    <w:rsid w:val="004F2916"/>
    <w:rsid w:val="004F3328"/>
    <w:rsid w:val="00507D1A"/>
    <w:rsid w:val="005257E1"/>
    <w:rsid w:val="0053417B"/>
    <w:rsid w:val="00556723"/>
    <w:rsid w:val="0057067F"/>
    <w:rsid w:val="00572D6A"/>
    <w:rsid w:val="0057644E"/>
    <w:rsid w:val="005A51B6"/>
    <w:rsid w:val="005A7713"/>
    <w:rsid w:val="005C79EC"/>
    <w:rsid w:val="005D1FCD"/>
    <w:rsid w:val="005E4529"/>
    <w:rsid w:val="006125AB"/>
    <w:rsid w:val="00643AFE"/>
    <w:rsid w:val="006544A0"/>
    <w:rsid w:val="006E59FE"/>
    <w:rsid w:val="006F38AD"/>
    <w:rsid w:val="006F651D"/>
    <w:rsid w:val="0074012E"/>
    <w:rsid w:val="00772F48"/>
    <w:rsid w:val="007748A9"/>
    <w:rsid w:val="00783CAA"/>
    <w:rsid w:val="007871BA"/>
    <w:rsid w:val="007B3CC4"/>
    <w:rsid w:val="007B77F4"/>
    <w:rsid w:val="007C0D53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8E34C6"/>
    <w:rsid w:val="00902A01"/>
    <w:rsid w:val="009251F1"/>
    <w:rsid w:val="00956874"/>
    <w:rsid w:val="00970194"/>
    <w:rsid w:val="009A4D16"/>
    <w:rsid w:val="009A6C04"/>
    <w:rsid w:val="009A7B76"/>
    <w:rsid w:val="00A344D6"/>
    <w:rsid w:val="00A515A1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927CC"/>
    <w:rsid w:val="00CB055A"/>
    <w:rsid w:val="00CB4C64"/>
    <w:rsid w:val="00CC2BDB"/>
    <w:rsid w:val="00CC3772"/>
    <w:rsid w:val="00CC3CAA"/>
    <w:rsid w:val="00D0788B"/>
    <w:rsid w:val="00D72200"/>
    <w:rsid w:val="00D91210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27AA6"/>
    <w:rsid w:val="00F4667E"/>
    <w:rsid w:val="00F67405"/>
    <w:rsid w:val="00F837F1"/>
    <w:rsid w:val="00F9164D"/>
    <w:rsid w:val="00F91CF4"/>
    <w:rsid w:val="00F92DA0"/>
    <w:rsid w:val="00FB7BE9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7CE1-D6DF-4EE5-8047-C0B3649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C5BE-FFE8-4514-8143-D4F77914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Воробьева</cp:lastModifiedBy>
  <cp:revision>16</cp:revision>
  <cp:lastPrinted>2017-11-23T11:58:00Z</cp:lastPrinted>
  <dcterms:created xsi:type="dcterms:W3CDTF">2019-01-17T13:40:00Z</dcterms:created>
  <dcterms:modified xsi:type="dcterms:W3CDTF">2020-04-24T10:03:00Z</dcterms:modified>
</cp:coreProperties>
</file>